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68B229D6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3C2AB8" w:rsidRPr="003C2AB8">
        <w:rPr>
          <w:rFonts w:ascii="Book Antiqua" w:hAnsi="Book Antiqua" w:cstheme="minorHAnsi"/>
          <w:b/>
          <w:bCs/>
          <w:sz w:val="24"/>
          <w:szCs w:val="24"/>
        </w:rPr>
        <w:t>Oprava silnice III/312 27 Dolní Morava</w:t>
      </w: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</w:t>
      </w:r>
      <w:proofErr w:type="gramStart"/>
      <w:r w:rsidRPr="300145FB">
        <w:rPr>
          <w:rFonts w:ascii="Book Antiqua" w:eastAsia="Times New Roman" w:hAnsi="Book Antiqua" w:cs="Segoe UI"/>
          <w:lang w:eastAsia="cs-CZ"/>
        </w:rPr>
        <w:t>tvoří</w:t>
      </w:r>
      <w:proofErr w:type="gramEnd"/>
      <w:r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2385A" w:rsidRPr="001119DE" w14:paraId="28E2D118" w14:textId="77777777" w:rsidTr="005476FC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E0916F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C348D0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7CD4527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2385A" w:rsidRPr="001119DE" w14:paraId="76F51844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7C5D1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0BE6E3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09A580C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97AB4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2385A" w:rsidRPr="001119DE" w14:paraId="20E74FE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3B0D07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3AC83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1EBA8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2385A" w:rsidRPr="001119DE" w14:paraId="0A3C092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F1DA0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597A8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61D7D77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716BA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2385A" w:rsidRPr="001119DE" w14:paraId="6456A16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3850C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7F7E77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5123807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03F18D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6F4DC1E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7A33C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21007A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261C487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142EA2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2385A" w:rsidRPr="001119DE" w14:paraId="1C09B4F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515D9C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251373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00BFCCC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1F2CE2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2385A" w:rsidRPr="001119DE" w14:paraId="0AFFCBA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B70FAF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57CFC1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BCA280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6DA92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6E1F8805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34E1B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1C51D94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520C6B4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CDC63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18321BD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B221A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B71A" w14:textId="77777777" w:rsidR="00EF5855" w:rsidRDefault="00EF5855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5AA140D5" w14:textId="73E4C63B" w:rsidR="0052385A" w:rsidRPr="001119DE" w:rsidRDefault="00EF5855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411E3E" w14:textId="12799836" w:rsidR="0052385A" w:rsidRPr="008F553B" w:rsidRDefault="008F553B" w:rsidP="008F553B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2385A" w:rsidRPr="001119DE" w14:paraId="1094BE4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562255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3EB96B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4E5C16A9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E349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18F3D46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557F5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021D1F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823E7C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80B6D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5B039BA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28ACB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76C9E2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742BE86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7F704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4553D6A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633A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A9329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705996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CDBBFA4" w14:textId="77777777" w:rsidR="0052385A" w:rsidRPr="001119DE" w:rsidRDefault="0052385A" w:rsidP="008F553B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6A3AF728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DFFF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31448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1FBA4D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2385A" w:rsidRPr="001119DE" w14:paraId="2CAFB219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28BBE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BD8F37" w14:textId="720AF78C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2C2C64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2385A" w:rsidRPr="001119DE" w14:paraId="0201B437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5044A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66467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4BA8D7B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68FEBF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2385A" w:rsidRPr="001119DE" w14:paraId="608D26E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6B58C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38B57D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2D9750E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08901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2385A" w:rsidRPr="001119DE" w14:paraId="599F0B1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219AC7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F9BDC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00F13FE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2D2988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2385A" w:rsidRPr="001119DE" w14:paraId="50A822A2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7A527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0BB8864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356C04E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05AC1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5DD6775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457BB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A8E829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63DF595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A724BE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2385A" w:rsidRPr="001119DE" w14:paraId="21DFD6E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7AE2F9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6355B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B51D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2385A" w:rsidRPr="001119DE" w14:paraId="19F10735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34483C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7F7E8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3425946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B9FB7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2385A" w:rsidRPr="001119DE" w14:paraId="09F83F4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AE433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E5548FC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78DDA14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80B6F8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2385A" w:rsidRPr="001119DE" w14:paraId="5D38F477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3A16CC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2D7C9A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606CC1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2385A" w:rsidRPr="001119DE" w14:paraId="56C952A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07569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91C522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6C4480F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13845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05B4CBB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73AD7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D2E3A1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09738E2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22236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4F0654F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3F8B04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690855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582EC1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6D83FE8B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0F7549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73EC4E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593D5DE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249350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2385A" w:rsidRPr="001119DE" w14:paraId="441D8CA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C912C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E1647B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40D8B1F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42FAD70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2385A" w:rsidRPr="001119DE" w14:paraId="139A4E9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CAAFE1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6E2EDD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341/07-910-IPK/1 </w:t>
            </w:r>
          </w:p>
          <w:p w14:paraId="4ACADBA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4.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35A206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1. 5. 2007</w:t>
            </w:r>
          </w:p>
        </w:tc>
      </w:tr>
      <w:tr w:rsidR="0052385A" w:rsidRPr="001119DE" w14:paraId="3312B89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C4ABC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0FFA7E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AD7EC08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886B677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338BAD36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041408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54EDD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9/2015-120-TN/4 </w:t>
            </w:r>
          </w:p>
          <w:p w14:paraId="5F35C598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EA4CA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15. 2. 2015 </w:t>
            </w:r>
          </w:p>
        </w:tc>
      </w:tr>
      <w:tr w:rsidR="0052385A" w:rsidRPr="001119DE" w14:paraId="7AEF928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80C4D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C076AA" w14:textId="77777777" w:rsidR="0091779E" w:rsidRDefault="00666A4C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6815DDEF" w14:textId="29C7A2E2" w:rsidR="0052385A" w:rsidRPr="001119DE" w:rsidRDefault="00666A4C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F018AE" w14:textId="6305661B" w:rsidR="0052385A" w:rsidRPr="001119DE" w:rsidRDefault="0091779E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8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2023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52385A" w:rsidRPr="001119DE" w14:paraId="4EE5106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D5B55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89A9229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1126/10-910-IPK/1 </w:t>
            </w:r>
          </w:p>
          <w:p w14:paraId="6CE61AA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16. 12.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298E70F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1. 1. 2011 </w:t>
            </w:r>
          </w:p>
        </w:tc>
      </w:tr>
      <w:tr w:rsidR="0052385A" w:rsidRPr="001119DE" w14:paraId="1B899C5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B4079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8F4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1001/09-910-IPK/1 </w:t>
            </w:r>
          </w:p>
          <w:p w14:paraId="6348E1E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17. 12.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E0EDEE3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1. 1. 2010 </w:t>
            </w:r>
          </w:p>
        </w:tc>
      </w:tr>
      <w:tr w:rsidR="0052385A" w:rsidRPr="001119DE" w14:paraId="5C157E0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402C7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F7CB0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2634523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42C1E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F42EFC">
        <w:rPr>
          <w:rFonts w:ascii="Book Antiqua" w:hAnsi="Book Antiqua" w:cs="Segoe UI"/>
          <w:b/>
          <w:bCs/>
          <w:lang w:eastAsia="cs-CZ"/>
        </w:rPr>
        <w:t>DIR</w:t>
      </w:r>
      <w:r w:rsidRPr="00F42EFC">
        <w:rPr>
          <w:rFonts w:ascii="Book Antiqua" w:hAnsi="Book Antiqua" w:cs="Segoe UI"/>
          <w:lang w:eastAsia="cs-CZ"/>
        </w:rPr>
        <w:t>“); </w:t>
      </w:r>
    </w:p>
    <w:p w14:paraId="0F1C39E5" w14:textId="6377D828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F83F1A" w:rsidRPr="00F74B0C">
        <w:rPr>
          <w:rFonts w:ascii="Book Antiqua" w:hAnsi="Book Antiqua" w:cs="Segoe UI"/>
          <w:lang w:eastAsia="cs-CZ"/>
        </w:rPr>
        <w:t xml:space="preserve">Stavba bude probíhat </w:t>
      </w:r>
      <w:r w:rsidR="009F4EBB" w:rsidRPr="00F74B0C">
        <w:rPr>
          <w:rFonts w:ascii="Book Antiqua" w:hAnsi="Book Antiqua" w:cs="Segoe UI"/>
          <w:lang w:eastAsia="cs-CZ"/>
        </w:rPr>
        <w:t xml:space="preserve">za </w:t>
      </w:r>
      <w:r w:rsidR="007870F7" w:rsidRPr="00F74B0C">
        <w:rPr>
          <w:rFonts w:ascii="Book Antiqua" w:hAnsi="Book Antiqua" w:cs="Segoe UI"/>
          <w:lang w:eastAsia="cs-CZ"/>
        </w:rPr>
        <w:t>úplné</w:t>
      </w:r>
      <w:r w:rsidR="000B1F6F" w:rsidRPr="00F74B0C">
        <w:rPr>
          <w:rFonts w:ascii="Book Antiqua" w:hAnsi="Book Antiqua" w:cs="Segoe UI"/>
          <w:lang w:eastAsia="cs-CZ"/>
        </w:rPr>
        <w:t xml:space="preserve"> uzavírky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06A15832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 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 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2147CB5B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B867B4" w:rsidRPr="00B867B4">
        <w:rPr>
          <w:rFonts w:ascii="Book Antiqua" w:hAnsi="Book Antiqua" w:cstheme="minorHAnsi"/>
          <w:b/>
          <w:bCs/>
        </w:rPr>
        <w:t>Oprava silnice III/312 27 Dolní Morava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</w:t>
      </w:r>
      <w:proofErr w:type="gramStart"/>
      <w:r w:rsidR="00F03033" w:rsidRPr="00F42EFC">
        <w:rPr>
          <w:rFonts w:ascii="Book Antiqua" w:hAnsi="Book Antiqua" w:cs="Segoe UI"/>
          <w:lang w:eastAsia="cs-CZ"/>
        </w:rPr>
        <w:t>doloží</w:t>
      </w:r>
      <w:proofErr w:type="gramEnd"/>
      <w:r w:rsidR="00F03033" w:rsidRPr="00F42EFC">
        <w:rPr>
          <w:rFonts w:ascii="Book Antiqua" w:hAnsi="Book Antiqua" w:cs="Segoe UI"/>
          <w:lang w:eastAsia="cs-CZ"/>
        </w:rPr>
        <w:t xml:space="preserve">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745915B7" w14:textId="1869F294" w:rsidR="00C35EAB" w:rsidRPr="00CF56FD" w:rsidRDefault="00DA72D5" w:rsidP="00CF56FD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Objednatele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a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bude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Zhotovitelem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převezen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a protokolárně uložen na</w:t>
      </w:r>
      <w:r w:rsidR="00E81C3E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skládku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proofErr w:type="spellStart"/>
      <w:r w:rsidR="00DA3E3E" w:rsidRPr="00BB10A0">
        <w:rPr>
          <w:rFonts w:ascii="Book Antiqua" w:hAnsi="Book Antiqua" w:cs="Segoe UI"/>
          <w:lang w:eastAsia="cs-CZ"/>
        </w:rPr>
        <w:t>cestmistrovství</w:t>
      </w:r>
      <w:proofErr w:type="spellEnd"/>
      <w:r w:rsidR="00DA3E3E" w:rsidRPr="00BB10A0">
        <w:rPr>
          <w:rFonts w:ascii="Book Antiqua" w:hAnsi="Book Antiqua" w:cs="Segoe UI"/>
          <w:lang w:eastAsia="cs-CZ"/>
        </w:rPr>
        <w:t xml:space="preserve"> </w:t>
      </w:r>
      <w:r w:rsidR="00866C80">
        <w:rPr>
          <w:rFonts w:ascii="Book Antiqua" w:hAnsi="Book Antiqua" w:cs="Segoe UI"/>
          <w:lang w:eastAsia="cs-CZ"/>
        </w:rPr>
        <w:t xml:space="preserve">Žamberk – pracoviště </w:t>
      </w:r>
      <w:r w:rsidR="007D28A3">
        <w:rPr>
          <w:rFonts w:ascii="Book Antiqua" w:hAnsi="Book Antiqua" w:cs="Segoe UI"/>
          <w:lang w:eastAsia="cs-CZ"/>
        </w:rPr>
        <w:t>Král</w:t>
      </w:r>
      <w:r w:rsidR="00866C80">
        <w:rPr>
          <w:rFonts w:ascii="Book Antiqua" w:hAnsi="Book Antiqua" w:cs="Segoe UI"/>
          <w:lang w:eastAsia="cs-CZ"/>
        </w:rPr>
        <w:t>íky</w:t>
      </w:r>
      <w:r w:rsidR="00AF074C" w:rsidRPr="00BB10A0">
        <w:rPr>
          <w:rFonts w:ascii="Book Antiqua" w:hAnsi="Book Antiqua" w:cs="Segoe UI"/>
          <w:lang w:eastAsia="cs-CZ"/>
        </w:rPr>
        <w:t xml:space="preserve"> </w:t>
      </w:r>
      <w:r w:rsidR="00DA3E3E" w:rsidRPr="00BB10A0">
        <w:rPr>
          <w:rFonts w:ascii="Book Antiqua" w:hAnsi="Book Antiqua" w:cs="Segoe UI"/>
          <w:lang w:eastAsia="cs-CZ"/>
        </w:rPr>
        <w:t>(</w:t>
      </w:r>
      <w:r w:rsidR="002745A6" w:rsidRPr="00AF074C">
        <w:rPr>
          <w:rFonts w:ascii="Book Antiqua" w:hAnsi="Book Antiqua" w:cs="Segoe UI"/>
          <w:lang w:eastAsia="cs-CZ"/>
        </w:rPr>
        <w:t>https://www.suspk.cz/</w:t>
      </w:r>
      <w:proofErr w:type="spellStart"/>
      <w:r w:rsidR="00D27102">
        <w:rPr>
          <w:rFonts w:ascii="Book Antiqua" w:hAnsi="Book Antiqua" w:cs="Segoe UI"/>
          <w:lang w:eastAsia="cs-CZ"/>
        </w:rPr>
        <w:t>kraliky</w:t>
      </w:r>
      <w:proofErr w:type="spellEnd"/>
      <w:r w:rsidR="00DA3E3E" w:rsidRPr="00BB10A0">
        <w:rPr>
          <w:rFonts w:ascii="Book Antiqua" w:hAnsi="Book Antiqua" w:cs="Segoe UI"/>
          <w:lang w:eastAsia="cs-CZ"/>
        </w:rPr>
        <w:t>)</w:t>
      </w:r>
      <w:r w:rsidR="00392BA1" w:rsidRPr="00AF074C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BF7E9E9" w14:textId="3EF91622" w:rsidR="00F03033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 xml:space="preserve">Zimní technologická přestávka je stanovena jako </w:t>
      </w:r>
      <w:r w:rsidRPr="00BB10A0">
        <w:rPr>
          <w:rFonts w:ascii="Book Antiqua" w:hAnsi="Book Antiqua" w:cs="Segoe UI"/>
          <w:b/>
          <w:bCs/>
          <w:lang w:eastAsia="cs-CZ"/>
        </w:rPr>
        <w:t>období od 01.11. do 31.03</w:t>
      </w:r>
      <w:r w:rsidRPr="00BB10A0">
        <w:rPr>
          <w:rFonts w:ascii="Book Antiqua" w:hAnsi="Book Antiqua" w:cs="Segoe UI"/>
          <w:lang w:eastAsia="cs-CZ"/>
        </w:rPr>
        <w:t>.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případě vhodných klimatických podmínek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průběhu zimní technologické přestávky je možné provádět stavební práce na Díle </w:t>
      </w:r>
      <w:r w:rsidR="00B90A13" w:rsidRPr="00BB10A0">
        <w:rPr>
          <w:rFonts w:ascii="Book Antiqua" w:hAnsi="Book Antiqua" w:cs="Segoe UI"/>
          <w:lang w:eastAsia="cs-CZ"/>
        </w:rPr>
        <w:t>za dodržení všech příslušných TP a TKP</w:t>
      </w:r>
      <w:r w:rsidRPr="00BB10A0">
        <w:rPr>
          <w:rFonts w:ascii="Book Antiqua" w:hAnsi="Book Antiqua" w:cs="Segoe UI"/>
          <w:lang w:eastAsia="cs-CZ"/>
        </w:rPr>
        <w:t>. </w:t>
      </w:r>
      <w:r w:rsidR="00005B05" w:rsidRPr="00BB10A0">
        <w:rPr>
          <w:rFonts w:ascii="Book Antiqua" w:hAnsi="Book Antiqua" w:cs="Segoe UI"/>
          <w:lang w:eastAsia="cs-CZ"/>
        </w:rPr>
        <w:t xml:space="preserve">Po dobu </w:t>
      </w:r>
      <w:r w:rsidR="004A689C" w:rsidRPr="00BB10A0">
        <w:rPr>
          <w:rFonts w:ascii="Book Antiqua" w:hAnsi="Book Antiqua" w:cs="Segoe UI"/>
          <w:lang w:eastAsia="cs-CZ"/>
        </w:rPr>
        <w:t>Zimní technologické přestávky</w:t>
      </w:r>
      <w:r w:rsidR="00F347A2" w:rsidRPr="00BB10A0">
        <w:rPr>
          <w:rFonts w:ascii="Book Antiqua" w:hAnsi="Book Antiqua" w:cs="Segoe UI"/>
          <w:lang w:eastAsia="cs-CZ"/>
        </w:rPr>
        <w:t xml:space="preserve"> neplynou smluvní termíny včetně Doby pro dokončení</w:t>
      </w:r>
      <w:r w:rsidR="0061064A" w:rsidRPr="00BB10A0">
        <w:rPr>
          <w:rFonts w:ascii="Book Antiqua" w:hAnsi="Book Antiqua" w:cs="Segoe UI"/>
          <w:lang w:eastAsia="cs-CZ"/>
        </w:rPr>
        <w:t xml:space="preserve">. </w:t>
      </w: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proofErr w:type="gramStart"/>
      <w:r w:rsidR="00544B49" w:rsidRPr="00BB10A0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784B32">
        <w:rPr>
          <w:rStyle w:val="normaltextrun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784B32">
        <w:rPr>
          <w:rStyle w:val="normaltextrun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40BD8E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proofErr w:type="spellStart"/>
      <w:r w:rsidRPr="00784B32">
        <w:rPr>
          <w:rStyle w:val="normaltextrun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proofErr w:type="spellStart"/>
      <w:r w:rsidRPr="00784B32">
        <w:rPr>
          <w:rStyle w:val="normaltextrun"/>
        </w:rPr>
        <w:t>webaplikační</w:t>
      </w:r>
      <w:proofErr w:type="spellEnd"/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proofErr w:type="spellStart"/>
      <w:r w:rsidRPr="00784B32">
        <w:rPr>
          <w:rStyle w:val="normaltextrun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6512A693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01CB7F81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0F11B348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3173FC" w:rsidRPr="003173FC">
        <w:rPr>
          <w:rFonts w:ascii="Book Antiqua" w:hAnsi="Book Antiqua" w:cstheme="minorHAnsi"/>
          <w:b/>
          <w:bCs/>
          <w:sz w:val="24"/>
          <w:szCs w:val="24"/>
        </w:rPr>
        <w:t>Oprava silnice III/312 27 Dolní Morava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55899649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3173FC" w:rsidRPr="003173FC">
        <w:rPr>
          <w:rFonts w:ascii="Book Antiqua" w:hAnsi="Book Antiqua" w:cstheme="minorHAnsi"/>
          <w:b/>
          <w:bCs/>
          <w:sz w:val="24"/>
          <w:szCs w:val="24"/>
        </w:rPr>
        <w:t>Oprava silnice III/312 27 Dolní Morava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E20E734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5012211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Tato Dohoda je vyhotovena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6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tisc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nich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 xml:space="preserve"> t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 xml:space="preserve">i </w:t>
      </w:r>
      <w:proofErr w:type="gramStart"/>
      <w:r w:rsidRPr="001B00D6">
        <w:rPr>
          <w:rFonts w:ascii="Book Antiqua" w:hAnsi="Book Antiqua" w:cs="Arial"/>
          <w:lang w:eastAsia="cs-CZ"/>
        </w:rPr>
        <w:t>obdr</w:t>
      </w:r>
      <w:r w:rsidRPr="001B00D6">
        <w:rPr>
          <w:rFonts w:ascii="Book Antiqua" w:hAnsi="Book Antiqua" w:cs="Book Antiqua"/>
          <w:lang w:eastAsia="cs-CZ"/>
        </w:rPr>
        <w:t>ží</w:t>
      </w:r>
      <w:proofErr w:type="gramEnd"/>
      <w:r w:rsidRPr="001B00D6">
        <w:rPr>
          <w:rFonts w:ascii="Book Antiqua" w:hAnsi="Book Antiqua" w:cs="Arial"/>
          <w:lang w:eastAsia="cs-CZ"/>
        </w:rPr>
        <w:t xml:space="preserve"> Objednatel, dva obdr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 xml:space="preserve"> Zhotovitel a jeden 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 xml:space="preserve"> stavebn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úř</w:t>
      </w:r>
      <w:r w:rsidRPr="001B00D6">
        <w:rPr>
          <w:rFonts w:ascii="Book Antiqua" w:hAnsi="Book Antiqua" w:cs="Arial"/>
          <w:lang w:eastAsia="cs-CZ"/>
        </w:rPr>
        <w:t>ad.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FCE3F" w14:textId="77777777" w:rsidR="008A0B23" w:rsidRDefault="008A0B23" w:rsidP="00852575">
      <w:pPr>
        <w:spacing w:after="0" w:line="240" w:lineRule="auto"/>
      </w:pPr>
      <w:r>
        <w:separator/>
      </w:r>
    </w:p>
  </w:endnote>
  <w:endnote w:type="continuationSeparator" w:id="0">
    <w:p w14:paraId="1CB93563" w14:textId="77777777" w:rsidR="008A0B23" w:rsidRDefault="008A0B23" w:rsidP="00852575">
      <w:pPr>
        <w:spacing w:after="0" w:line="240" w:lineRule="auto"/>
      </w:pPr>
      <w:r>
        <w:continuationSeparator/>
      </w:r>
    </w:p>
  </w:endnote>
  <w:endnote w:type="continuationNotice" w:id="1">
    <w:p w14:paraId="5ECF44EB" w14:textId="77777777" w:rsidR="008A0B23" w:rsidRDefault="008A0B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19999951"/>
      <w:docPartObj>
        <w:docPartGallery w:val="Page Numbers (Bottom of Page)"/>
        <w:docPartUnique/>
      </w:docPartObj>
    </w:sdtPr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82F0A" w14:textId="77777777" w:rsidR="008A0B23" w:rsidRDefault="008A0B23" w:rsidP="00852575">
      <w:pPr>
        <w:spacing w:after="0" w:line="240" w:lineRule="auto"/>
      </w:pPr>
      <w:r>
        <w:separator/>
      </w:r>
    </w:p>
  </w:footnote>
  <w:footnote w:type="continuationSeparator" w:id="0">
    <w:p w14:paraId="2BDA416D" w14:textId="77777777" w:rsidR="008A0B23" w:rsidRDefault="008A0B23" w:rsidP="00852575">
      <w:pPr>
        <w:spacing w:after="0" w:line="240" w:lineRule="auto"/>
      </w:pPr>
      <w:r>
        <w:continuationSeparator/>
      </w:r>
    </w:p>
  </w:footnote>
  <w:footnote w:type="continuationNotice" w:id="1">
    <w:p w14:paraId="55C17C40" w14:textId="77777777" w:rsidR="008A0B23" w:rsidRDefault="008A0B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9A8B8" w14:textId="77777777" w:rsidR="0011760D" w:rsidRDefault="0011760D" w:rsidP="0011760D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02BA7330" wp14:editId="45E1B1D5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6573"/>
    <w:rsid w:val="0003717E"/>
    <w:rsid w:val="00041D41"/>
    <w:rsid w:val="00043A16"/>
    <w:rsid w:val="00043E89"/>
    <w:rsid w:val="00045E53"/>
    <w:rsid w:val="00055EA9"/>
    <w:rsid w:val="00061734"/>
    <w:rsid w:val="00061960"/>
    <w:rsid w:val="000641A2"/>
    <w:rsid w:val="000676CD"/>
    <w:rsid w:val="00072070"/>
    <w:rsid w:val="0008489C"/>
    <w:rsid w:val="00092111"/>
    <w:rsid w:val="00092645"/>
    <w:rsid w:val="000B1F6F"/>
    <w:rsid w:val="000B2BC5"/>
    <w:rsid w:val="000B2EE1"/>
    <w:rsid w:val="000B3F94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E49"/>
    <w:rsid w:val="001317EA"/>
    <w:rsid w:val="00132001"/>
    <w:rsid w:val="001363F3"/>
    <w:rsid w:val="00136653"/>
    <w:rsid w:val="00136914"/>
    <w:rsid w:val="00140586"/>
    <w:rsid w:val="00141416"/>
    <w:rsid w:val="00142407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7D34"/>
    <w:rsid w:val="001A7EE2"/>
    <w:rsid w:val="001B00D6"/>
    <w:rsid w:val="001B2C92"/>
    <w:rsid w:val="001B46A3"/>
    <w:rsid w:val="001C3D77"/>
    <w:rsid w:val="001D0853"/>
    <w:rsid w:val="001D0ACD"/>
    <w:rsid w:val="001E0FA3"/>
    <w:rsid w:val="001E4D71"/>
    <w:rsid w:val="001E5112"/>
    <w:rsid w:val="001F0EB7"/>
    <w:rsid w:val="001F63AC"/>
    <w:rsid w:val="00201135"/>
    <w:rsid w:val="00205502"/>
    <w:rsid w:val="00210A2F"/>
    <w:rsid w:val="002112B2"/>
    <w:rsid w:val="0021293A"/>
    <w:rsid w:val="00223C55"/>
    <w:rsid w:val="00225653"/>
    <w:rsid w:val="00225E4F"/>
    <w:rsid w:val="00227D1A"/>
    <w:rsid w:val="00252FA9"/>
    <w:rsid w:val="002560C2"/>
    <w:rsid w:val="00261262"/>
    <w:rsid w:val="00270372"/>
    <w:rsid w:val="002716A9"/>
    <w:rsid w:val="002745A6"/>
    <w:rsid w:val="002868AA"/>
    <w:rsid w:val="0028751C"/>
    <w:rsid w:val="00291838"/>
    <w:rsid w:val="002B6B15"/>
    <w:rsid w:val="002C1424"/>
    <w:rsid w:val="002C22D9"/>
    <w:rsid w:val="002C65CC"/>
    <w:rsid w:val="002C7DF4"/>
    <w:rsid w:val="002E0671"/>
    <w:rsid w:val="002E09D7"/>
    <w:rsid w:val="002E177B"/>
    <w:rsid w:val="002E35D5"/>
    <w:rsid w:val="002E7867"/>
    <w:rsid w:val="002F2B78"/>
    <w:rsid w:val="002F4978"/>
    <w:rsid w:val="002F7C35"/>
    <w:rsid w:val="00303AE7"/>
    <w:rsid w:val="0030440A"/>
    <w:rsid w:val="003107E9"/>
    <w:rsid w:val="00314888"/>
    <w:rsid w:val="00316EBC"/>
    <w:rsid w:val="00317019"/>
    <w:rsid w:val="003173FC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4C5"/>
    <w:rsid w:val="00347D22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30C3"/>
    <w:rsid w:val="003C0792"/>
    <w:rsid w:val="003C274C"/>
    <w:rsid w:val="003C2AB8"/>
    <w:rsid w:val="003C4DEA"/>
    <w:rsid w:val="003D2EE1"/>
    <w:rsid w:val="003D5671"/>
    <w:rsid w:val="003E3FD9"/>
    <w:rsid w:val="003F2CB0"/>
    <w:rsid w:val="003F4284"/>
    <w:rsid w:val="0040295B"/>
    <w:rsid w:val="00410E4B"/>
    <w:rsid w:val="0041191A"/>
    <w:rsid w:val="004221FA"/>
    <w:rsid w:val="00431876"/>
    <w:rsid w:val="004340EC"/>
    <w:rsid w:val="00434813"/>
    <w:rsid w:val="00436000"/>
    <w:rsid w:val="00450897"/>
    <w:rsid w:val="00452345"/>
    <w:rsid w:val="00460CF8"/>
    <w:rsid w:val="00460F0E"/>
    <w:rsid w:val="004615DC"/>
    <w:rsid w:val="00462EC7"/>
    <w:rsid w:val="00465CE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7316"/>
    <w:rsid w:val="00506239"/>
    <w:rsid w:val="00506BDC"/>
    <w:rsid w:val="00506FD7"/>
    <w:rsid w:val="0051231C"/>
    <w:rsid w:val="00517717"/>
    <w:rsid w:val="0052385A"/>
    <w:rsid w:val="0052733D"/>
    <w:rsid w:val="00536A75"/>
    <w:rsid w:val="00544B49"/>
    <w:rsid w:val="00546C3A"/>
    <w:rsid w:val="0055199C"/>
    <w:rsid w:val="00555ACD"/>
    <w:rsid w:val="0057546A"/>
    <w:rsid w:val="00575915"/>
    <w:rsid w:val="00576EB5"/>
    <w:rsid w:val="005838FD"/>
    <w:rsid w:val="005927C9"/>
    <w:rsid w:val="00596CC2"/>
    <w:rsid w:val="005B257C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7C08"/>
    <w:rsid w:val="005E11D4"/>
    <w:rsid w:val="005F168D"/>
    <w:rsid w:val="005F55A1"/>
    <w:rsid w:val="0061064A"/>
    <w:rsid w:val="00610D44"/>
    <w:rsid w:val="006159EC"/>
    <w:rsid w:val="00616C5C"/>
    <w:rsid w:val="00632C31"/>
    <w:rsid w:val="00642511"/>
    <w:rsid w:val="00651AF1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9C6"/>
    <w:rsid w:val="006A296E"/>
    <w:rsid w:val="006A43A6"/>
    <w:rsid w:val="006A48E4"/>
    <w:rsid w:val="006A6845"/>
    <w:rsid w:val="006A79A3"/>
    <w:rsid w:val="006C068A"/>
    <w:rsid w:val="006C204D"/>
    <w:rsid w:val="006C2BF3"/>
    <w:rsid w:val="006C391D"/>
    <w:rsid w:val="006C4F12"/>
    <w:rsid w:val="006E5336"/>
    <w:rsid w:val="006F1DEF"/>
    <w:rsid w:val="006F2368"/>
    <w:rsid w:val="00700612"/>
    <w:rsid w:val="00701882"/>
    <w:rsid w:val="007138CE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462B"/>
    <w:rsid w:val="007C5832"/>
    <w:rsid w:val="007C68DB"/>
    <w:rsid w:val="007D1D7F"/>
    <w:rsid w:val="007D28A3"/>
    <w:rsid w:val="007D5EBF"/>
    <w:rsid w:val="007D740F"/>
    <w:rsid w:val="007D7F36"/>
    <w:rsid w:val="007E0C2C"/>
    <w:rsid w:val="007E281B"/>
    <w:rsid w:val="007E6B44"/>
    <w:rsid w:val="007E7737"/>
    <w:rsid w:val="007F0432"/>
    <w:rsid w:val="0080241E"/>
    <w:rsid w:val="00803D35"/>
    <w:rsid w:val="008062EB"/>
    <w:rsid w:val="0080D6C2"/>
    <w:rsid w:val="00811C29"/>
    <w:rsid w:val="00815B07"/>
    <w:rsid w:val="0081763A"/>
    <w:rsid w:val="00821DC4"/>
    <w:rsid w:val="0082273A"/>
    <w:rsid w:val="00824009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6C80"/>
    <w:rsid w:val="00867D90"/>
    <w:rsid w:val="00870209"/>
    <w:rsid w:val="00874E12"/>
    <w:rsid w:val="00880722"/>
    <w:rsid w:val="008977FA"/>
    <w:rsid w:val="008A0B23"/>
    <w:rsid w:val="008A1536"/>
    <w:rsid w:val="008A1B1C"/>
    <w:rsid w:val="008A4481"/>
    <w:rsid w:val="008B513B"/>
    <w:rsid w:val="008C1F35"/>
    <w:rsid w:val="008C2DF0"/>
    <w:rsid w:val="008C35D0"/>
    <w:rsid w:val="008C464C"/>
    <w:rsid w:val="008D3A0F"/>
    <w:rsid w:val="008E51D6"/>
    <w:rsid w:val="008F553B"/>
    <w:rsid w:val="008F639D"/>
    <w:rsid w:val="008F794B"/>
    <w:rsid w:val="00900F28"/>
    <w:rsid w:val="00901B91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2EB3"/>
    <w:rsid w:val="009C4DB3"/>
    <w:rsid w:val="009C54A7"/>
    <w:rsid w:val="009E0F67"/>
    <w:rsid w:val="009E4D2D"/>
    <w:rsid w:val="009F4EBB"/>
    <w:rsid w:val="009F6E6B"/>
    <w:rsid w:val="00A11EFA"/>
    <w:rsid w:val="00A23209"/>
    <w:rsid w:val="00A23E73"/>
    <w:rsid w:val="00A265DE"/>
    <w:rsid w:val="00A272A6"/>
    <w:rsid w:val="00A27FB0"/>
    <w:rsid w:val="00A40BC3"/>
    <w:rsid w:val="00A4549F"/>
    <w:rsid w:val="00A53BE3"/>
    <w:rsid w:val="00A600B1"/>
    <w:rsid w:val="00A67DE8"/>
    <w:rsid w:val="00A70D02"/>
    <w:rsid w:val="00A7312E"/>
    <w:rsid w:val="00A74A7A"/>
    <w:rsid w:val="00A80560"/>
    <w:rsid w:val="00A95EE3"/>
    <w:rsid w:val="00AB2967"/>
    <w:rsid w:val="00AB2D0F"/>
    <w:rsid w:val="00AB5433"/>
    <w:rsid w:val="00AB54F4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B03FFA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4341"/>
    <w:rsid w:val="00B54827"/>
    <w:rsid w:val="00B54882"/>
    <w:rsid w:val="00B605DD"/>
    <w:rsid w:val="00B63A63"/>
    <w:rsid w:val="00B65F61"/>
    <w:rsid w:val="00B80B84"/>
    <w:rsid w:val="00B81C27"/>
    <w:rsid w:val="00B867B4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5180"/>
    <w:rsid w:val="00BD54F7"/>
    <w:rsid w:val="00BF7265"/>
    <w:rsid w:val="00C05805"/>
    <w:rsid w:val="00C069AF"/>
    <w:rsid w:val="00C07A8A"/>
    <w:rsid w:val="00C263CD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44F2"/>
    <w:rsid w:val="00CB1533"/>
    <w:rsid w:val="00CB3316"/>
    <w:rsid w:val="00CB49F5"/>
    <w:rsid w:val="00CB4A67"/>
    <w:rsid w:val="00CC0BC6"/>
    <w:rsid w:val="00CC1B6A"/>
    <w:rsid w:val="00CC56B1"/>
    <w:rsid w:val="00CD04A5"/>
    <w:rsid w:val="00CD252C"/>
    <w:rsid w:val="00CD64D5"/>
    <w:rsid w:val="00CD6BB3"/>
    <w:rsid w:val="00CF56FD"/>
    <w:rsid w:val="00CF7C87"/>
    <w:rsid w:val="00D01C6F"/>
    <w:rsid w:val="00D01F6E"/>
    <w:rsid w:val="00D107CD"/>
    <w:rsid w:val="00D12BF4"/>
    <w:rsid w:val="00D12C8D"/>
    <w:rsid w:val="00D12CE6"/>
    <w:rsid w:val="00D27102"/>
    <w:rsid w:val="00D3264A"/>
    <w:rsid w:val="00D37370"/>
    <w:rsid w:val="00D3765D"/>
    <w:rsid w:val="00D40574"/>
    <w:rsid w:val="00D41DAE"/>
    <w:rsid w:val="00D42749"/>
    <w:rsid w:val="00D50458"/>
    <w:rsid w:val="00D52486"/>
    <w:rsid w:val="00D559F3"/>
    <w:rsid w:val="00D60DA1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C1"/>
    <w:rsid w:val="00E055C8"/>
    <w:rsid w:val="00E10A3A"/>
    <w:rsid w:val="00E16325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FE2"/>
    <w:rsid w:val="00E87CEC"/>
    <w:rsid w:val="00E92632"/>
    <w:rsid w:val="00E96508"/>
    <w:rsid w:val="00EA1BE2"/>
    <w:rsid w:val="00EA3088"/>
    <w:rsid w:val="00EA5BF6"/>
    <w:rsid w:val="00EB05C6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615D"/>
    <w:rsid w:val="00F86786"/>
    <w:rsid w:val="00F869F4"/>
    <w:rsid w:val="00FA3343"/>
    <w:rsid w:val="00FA3E84"/>
    <w:rsid w:val="00FA70AE"/>
    <w:rsid w:val="00FB5970"/>
    <w:rsid w:val="00FB603E"/>
    <w:rsid w:val="00FC46AB"/>
    <w:rsid w:val="00FD102D"/>
    <w:rsid w:val="00FD5BEE"/>
    <w:rsid w:val="00FE10CB"/>
    <w:rsid w:val="00FE4EF5"/>
    <w:rsid w:val="00FF07A7"/>
    <w:rsid w:val="00FF42FD"/>
    <w:rsid w:val="00FF5871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5639BBE5-8109-45AB-BB9F-551D1FAF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498D94-5393-4C74-B312-2D8DCBB78220}"/>
</file>

<file path=customXml/itemProps4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15</Pages>
  <Words>4090</Words>
  <Characters>24136</Characters>
  <Application>Microsoft Office Word</Application>
  <DocSecurity>0</DocSecurity>
  <Lines>201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28170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Jan Prucek</cp:lastModifiedBy>
  <cp:revision>192</cp:revision>
  <cp:lastPrinted>2019-03-08T12:33:00Z</cp:lastPrinted>
  <dcterms:created xsi:type="dcterms:W3CDTF">2022-01-19T13:49:00Z</dcterms:created>
  <dcterms:modified xsi:type="dcterms:W3CDTF">2024-07-15T20:50:00Z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